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33" w:rsidRPr="00B53833" w:rsidRDefault="00B53833" w:rsidP="00B53833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5383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33" w:rsidRPr="00B53833" w:rsidRDefault="00B53833" w:rsidP="00B53833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eastAsia="Calibri" w:hAnsi="Times New Roman" w:cs="Times New Roman"/>
          <w:i/>
          <w:iCs/>
          <w:spacing w:val="60"/>
          <w:sz w:val="36"/>
          <w:szCs w:val="32"/>
          <w:lang w:val="x-none" w:eastAsia="ar-SA"/>
        </w:rPr>
      </w:pPr>
      <w:r w:rsidRPr="00B53833">
        <w:rPr>
          <w:rFonts w:ascii="Times New Roman" w:eastAsia="Calibri" w:hAnsi="Times New Roman" w:cs="Times New Roman"/>
          <w:i/>
          <w:iCs/>
          <w:spacing w:val="60"/>
          <w:sz w:val="36"/>
          <w:szCs w:val="32"/>
          <w:lang w:val="x-none" w:eastAsia="ar-SA"/>
        </w:rPr>
        <w:t>Совет народных депутатов</w:t>
      </w:r>
    </w:p>
    <w:p w:rsidR="00B53833" w:rsidRPr="00B53833" w:rsidRDefault="00B53833" w:rsidP="00B53833">
      <w:pPr>
        <w:spacing w:after="0" w:line="200" w:lineRule="atLeast"/>
        <w:jc w:val="center"/>
        <w:rPr>
          <w:rFonts w:ascii="Calibri" w:eastAsia="Calibri" w:hAnsi="Calibri" w:cs="Times New Roman"/>
          <w:sz w:val="10"/>
        </w:rPr>
      </w:pPr>
    </w:p>
    <w:p w:rsidR="00B53833" w:rsidRPr="00B53833" w:rsidRDefault="00B53833" w:rsidP="00B53833">
      <w:pPr>
        <w:spacing w:after="0" w:line="200" w:lineRule="atLeast"/>
        <w:jc w:val="center"/>
        <w:rPr>
          <w:rFonts w:ascii="Bookman Old Style" w:eastAsia="Calibri" w:hAnsi="Bookman Old Style" w:cs="Times New Roman"/>
          <w:i/>
          <w:spacing w:val="15"/>
          <w:sz w:val="24"/>
        </w:rPr>
      </w:pPr>
      <w:r w:rsidRPr="00B53833">
        <w:rPr>
          <w:rFonts w:ascii="Bookman Old Style" w:eastAsia="Calibri" w:hAnsi="Bookman Old Style" w:cs="Times New Roman"/>
          <w:i/>
          <w:spacing w:val="15"/>
          <w:sz w:val="24"/>
        </w:rPr>
        <w:t>Бутурлиновского городского поселения</w:t>
      </w:r>
    </w:p>
    <w:p w:rsidR="00B53833" w:rsidRPr="00B53833" w:rsidRDefault="00B53833" w:rsidP="00B53833">
      <w:pPr>
        <w:spacing w:after="0" w:line="200" w:lineRule="atLeast"/>
        <w:jc w:val="center"/>
        <w:rPr>
          <w:rFonts w:ascii="Bookman Old Style" w:eastAsia="Calibri" w:hAnsi="Bookman Old Style" w:cs="Times New Roman"/>
          <w:i/>
          <w:spacing w:val="15"/>
          <w:sz w:val="24"/>
        </w:rPr>
      </w:pPr>
      <w:r w:rsidRPr="00B53833">
        <w:rPr>
          <w:rFonts w:ascii="Bookman Old Style" w:eastAsia="Calibri" w:hAnsi="Bookman Old Style" w:cs="Times New Roman"/>
          <w:i/>
          <w:spacing w:val="15"/>
          <w:sz w:val="24"/>
        </w:rPr>
        <w:t>Бутурлиновского муниципального района</w:t>
      </w:r>
    </w:p>
    <w:p w:rsidR="00B53833" w:rsidRPr="00B53833" w:rsidRDefault="00B53833" w:rsidP="00B53833">
      <w:pPr>
        <w:spacing w:after="0" w:line="200" w:lineRule="atLeast"/>
        <w:jc w:val="center"/>
        <w:rPr>
          <w:rFonts w:ascii="Bookman Old Style" w:eastAsia="Calibri" w:hAnsi="Bookman Old Style" w:cs="Times New Roman"/>
          <w:i/>
          <w:spacing w:val="15"/>
          <w:sz w:val="24"/>
        </w:rPr>
      </w:pPr>
      <w:r w:rsidRPr="00B53833">
        <w:rPr>
          <w:rFonts w:ascii="Bookman Old Style" w:eastAsia="Calibri" w:hAnsi="Bookman Old Style" w:cs="Times New Roman"/>
          <w:i/>
          <w:spacing w:val="15"/>
          <w:sz w:val="24"/>
        </w:rPr>
        <w:t>Воронежской области</w:t>
      </w:r>
    </w:p>
    <w:p w:rsidR="00B53833" w:rsidRPr="00B53833" w:rsidRDefault="00B53833" w:rsidP="00B5383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i/>
          <w:iCs/>
          <w:kern w:val="2"/>
          <w:sz w:val="16"/>
          <w:szCs w:val="16"/>
          <w:lang w:eastAsia="ru-RU"/>
        </w:rPr>
      </w:pPr>
    </w:p>
    <w:p w:rsidR="00B53833" w:rsidRPr="00B53833" w:rsidRDefault="00B53833" w:rsidP="00B53833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C47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28.04.2022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  <w:r w:rsidRPr="00B5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C47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 w:rsidR="00C652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</w:p>
    <w:p w:rsidR="00B53833" w:rsidRPr="00B53833" w:rsidRDefault="00B53833" w:rsidP="00B5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38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г. Бутурлиновка</w:t>
      </w:r>
      <w:r w:rsidRPr="00B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53833" w:rsidRPr="00B53833" w:rsidRDefault="00B53833" w:rsidP="00B5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B53833" w:rsidRPr="00B53833" w:rsidRDefault="00C65285" w:rsidP="00C65285">
      <w:pPr>
        <w:tabs>
          <w:tab w:val="left" w:pos="4678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подготовки и внесения в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 городского</w:t>
      </w:r>
      <w:r w:rsidRPr="00C6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Бутурлиновского муниципального района Воронежской области проектов муниципальных правовых актов</w:t>
      </w:r>
    </w:p>
    <w:p w:rsidR="00B53833" w:rsidRPr="00B53833" w:rsidRDefault="00B53833" w:rsidP="00B5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33" w:rsidRPr="00B53833" w:rsidRDefault="00C65285" w:rsidP="00B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</w:t>
      </w: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Бутурлиновского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="00B53833" w:rsidRPr="00B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B53833" w:rsidRPr="00B53833">
        <w:rPr>
          <w:rFonts w:ascii="Times New Roman" w:eastAsia="Calibri" w:hAnsi="Times New Roman" w:cs="Times New Roman"/>
          <w:sz w:val="28"/>
          <w:szCs w:val="28"/>
        </w:rPr>
        <w:t>Бутурлиновского городского</w:t>
      </w:r>
      <w:r w:rsidR="00B53833" w:rsidRPr="00B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B53833" w:rsidRPr="00B53833" w:rsidRDefault="00B53833" w:rsidP="00B5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33" w:rsidRPr="00B53833" w:rsidRDefault="00B53833" w:rsidP="00B5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B53833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РЕШИЛ:</w:t>
      </w:r>
    </w:p>
    <w:p w:rsidR="00C65285" w:rsidRDefault="00C65285" w:rsidP="00B53833">
      <w:pPr>
        <w:widowControl w:val="0"/>
        <w:autoSpaceDE w:val="0"/>
        <w:autoSpaceDN w:val="0"/>
        <w:adjustRightInd w:val="0"/>
        <w:spacing w:before="420" w:after="0" w:line="240" w:lineRule="auto"/>
        <w:ind w:right="9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33" w:rsidRPr="00B53833" w:rsidRDefault="00C65285" w:rsidP="00B53833">
      <w:pPr>
        <w:widowControl w:val="0"/>
        <w:autoSpaceDE w:val="0"/>
        <w:autoSpaceDN w:val="0"/>
        <w:adjustRightInd w:val="0"/>
        <w:spacing w:before="420" w:after="0" w:line="240" w:lineRule="auto"/>
        <w:ind w:right="9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внесения в Совет народных депутатов Бутурлиновского городского поселения Бутурлиновского муниципального района Воронежской области проектов муниципальных правовых актов.</w:t>
      </w:r>
    </w:p>
    <w:p w:rsidR="00C65285" w:rsidRDefault="00C65285" w:rsidP="00B53833">
      <w:pPr>
        <w:widowControl w:val="0"/>
        <w:autoSpaceDE w:val="0"/>
        <w:autoSpaceDN w:val="0"/>
        <w:adjustRightInd w:val="0"/>
        <w:spacing w:after="0" w:line="240" w:lineRule="auto"/>
        <w:ind w:right="9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B53833" w:rsidRPr="00B53833" w:rsidRDefault="00C65285" w:rsidP="00B53833">
      <w:pPr>
        <w:widowControl w:val="0"/>
        <w:autoSpaceDE w:val="0"/>
        <w:autoSpaceDN w:val="0"/>
        <w:adjustRightInd w:val="0"/>
        <w:spacing w:after="0" w:line="240" w:lineRule="auto"/>
        <w:ind w:right="9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3833" w:rsidRPr="00B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B53833" w:rsidRDefault="00B53833" w:rsidP="00B5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33" w:rsidRPr="00B53833" w:rsidRDefault="00B53833" w:rsidP="00B538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83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Бутурлиновского</w:t>
      </w:r>
    </w:p>
    <w:p w:rsidR="00B53833" w:rsidRPr="00B53833" w:rsidRDefault="00B53833" w:rsidP="00B538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83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                                                                         Е.Н. Коржова</w:t>
      </w:r>
    </w:p>
    <w:p w:rsidR="00A32F08" w:rsidRPr="00B53833" w:rsidRDefault="00A32F08" w:rsidP="00A3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2F08" w:rsidRPr="00B53833" w:rsidSect="00C652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3833" w:rsidRPr="00B53833" w:rsidRDefault="00C65285" w:rsidP="00B5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53833" w:rsidRPr="00B53833" w:rsidRDefault="00B53833" w:rsidP="00B5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</w:p>
    <w:p w:rsidR="00B53833" w:rsidRPr="00B53833" w:rsidRDefault="00B53833" w:rsidP="00B5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B53833" w:rsidRPr="00B53833" w:rsidRDefault="002C4749" w:rsidP="00B5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4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2C47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28.04.2022 г.</w:t>
      </w:r>
      <w:r w:rsidRPr="002C4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2C47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 w:rsidR="00C652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</w:p>
    <w:p w:rsidR="00B53833" w:rsidRPr="00B53833" w:rsidRDefault="00B53833" w:rsidP="00B5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285" w:rsidRPr="00A118AE" w:rsidRDefault="00C65285" w:rsidP="00C65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B53833" w:rsidRPr="00A118AE" w:rsidRDefault="00C65285" w:rsidP="00C65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И ВНЕСЕНИЯ В СОВЕТ НАРОДНЫХ ДЕПУТАТОВ БУТУРЛИНОВСКОГО ГОРОДСКОГО ПОСЕЛЕНИЯ БУТУРЛИНОВСКОГО МУНИЦИПАЛЬНОГО РАЙОНА ВОРОНЕЖСКОЙ ОБЛАСТИ ПРОЕКТОВ МУНИЦИПАЛЬНЫХ ПРАВОВЫХ АКТОВ</w:t>
      </w:r>
    </w:p>
    <w:p w:rsidR="00B53833" w:rsidRPr="00A118AE" w:rsidRDefault="00B53833" w:rsidP="00B5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285" w:rsidRPr="00C65285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Pr="00A1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 городского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A1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 муниципального района Воронежской области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Совет народных депутатов), устанавливает перечень прилагаемых к ним документов.</w:t>
      </w:r>
    </w:p>
    <w:p w:rsidR="00C65285" w:rsidRPr="00C65285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Порядке применяется следующие понятия:</w:t>
      </w:r>
    </w:p>
    <w:p w:rsidR="00C65285" w:rsidRPr="00C65285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правовой акт (нормативный, ненормативный)</w:t>
      </w:r>
      <w:r w:rsidR="00F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письменный документ, принятый (изданный) Советом народных депутатов в соответствии с установленной компетенцией и устанавливающий, изменяющий либо отменяющий нормы права</w:t>
      </w:r>
      <w:r w:rsidRPr="00A1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5285" w:rsidRPr="00A118AE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нормативный правовой акт - официальный письменный документ, принятый (изданный) Советом народных депутатов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</w:t>
      </w:r>
      <w:r w:rsidR="00A118AE" w:rsidRPr="00A1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 городского поселения Бутурлиновского муниципального района Воронежской области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самим муниципальным правовым актом.</w:t>
      </w:r>
    </w:p>
    <w:p w:rsidR="00A118AE" w:rsidRPr="00C65285" w:rsidRDefault="00A118AE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85" w:rsidRPr="00A118AE" w:rsidRDefault="00C65285" w:rsidP="00A118AE">
      <w:pPr>
        <w:spacing w:after="0" w:line="240" w:lineRule="auto"/>
        <w:ind w:left="11" w:right="11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118AE" w:rsidRPr="00A11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A118AE" w:rsidRPr="00C65285" w:rsidRDefault="00A118AE" w:rsidP="00C65285">
      <w:pPr>
        <w:spacing w:after="0" w:line="240" w:lineRule="auto"/>
        <w:ind w:left="11" w:right="11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85" w:rsidRPr="00C65285" w:rsidRDefault="00C65285" w:rsidP="00A118AE">
      <w:pPr>
        <w:numPr>
          <w:ilvl w:val="0"/>
          <w:numId w:val="2"/>
        </w:numPr>
        <w:spacing w:after="0" w:line="240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правотворческой инициативы в муниципальном образовании являются депутаты Совета народных депутатов, </w:t>
      </w:r>
      <w:r w:rsidR="00F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A118AE" w:rsidRPr="00A1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 городского поселения Бутурлиновского муниципального района Воронежской области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</w:t>
      </w:r>
      <w:r w:rsidR="00F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дминистрацией, инициативные группы граждан, проживающих на территории муниципального образования, органы прокуратуры.</w:t>
      </w:r>
    </w:p>
    <w:p w:rsidR="00C65285" w:rsidRPr="00C65285" w:rsidRDefault="00C65285" w:rsidP="00C65285">
      <w:pPr>
        <w:numPr>
          <w:ilvl w:val="0"/>
          <w:numId w:val="2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Правотворческая инициатива реализуется:</w:t>
      </w:r>
    </w:p>
    <w:p w:rsidR="00C65285" w:rsidRPr="00C65285" w:rsidRDefault="00C65285" w:rsidP="00C65285">
      <w:pPr>
        <w:numPr>
          <w:ilvl w:val="0"/>
          <w:numId w:val="3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путем внесения в Совет народных депутатов проектов муниципальных правовых актов, принятие которых относится к компетенции Совета народных депутатов;</w:t>
      </w:r>
    </w:p>
    <w:p w:rsidR="00C65285" w:rsidRPr="00C65285" w:rsidRDefault="00C65285" w:rsidP="00C65285">
      <w:pPr>
        <w:numPr>
          <w:ilvl w:val="0"/>
          <w:numId w:val="3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C65285" w:rsidRPr="00C65285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путем внесения в Совет народных депутатов информации, рассматриваемой Советом народных депутатов муниципального образования по исполнению решений Совета народных депутатов,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A118AE" w:rsidRPr="00A118AE" w:rsidRDefault="00A118AE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8AE" w:rsidRDefault="00C65285" w:rsidP="00A118AE">
      <w:pPr>
        <w:spacing w:after="0" w:line="240" w:lineRule="auto"/>
        <w:ind w:left="11" w:right="11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П. ПОРЯДОК ПОДГОТОВКИ И ВНЕСЕНИЯ ПРОЕКТОВ МУНИЦИПАЛЬНЫХ ПРАВОВЫХ АКТОВ </w:t>
      </w:r>
    </w:p>
    <w:p w:rsidR="00C65285" w:rsidRDefault="00C65285" w:rsidP="00A118AE">
      <w:pPr>
        <w:spacing w:after="0" w:line="240" w:lineRule="auto"/>
        <w:ind w:left="11" w:right="11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 НАРОДНЫХ ДЕПУТАТОВ</w:t>
      </w:r>
    </w:p>
    <w:p w:rsidR="00A118AE" w:rsidRPr="00C65285" w:rsidRDefault="00A118AE" w:rsidP="00A118AE">
      <w:pPr>
        <w:spacing w:after="0" w:line="240" w:lineRule="auto"/>
        <w:ind w:left="11" w:right="11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285" w:rsidRPr="00C65285" w:rsidRDefault="00C65285" w:rsidP="00C65285">
      <w:pPr>
        <w:numPr>
          <w:ilvl w:val="0"/>
          <w:numId w:val="4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муниципального правового акта, вносимого в Совет народных депутатов,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C65285" w:rsidRPr="00C65285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проекта правового акта решением Совета народных депутатов, муниципальным правовым актом </w:t>
      </w:r>
      <w:r w:rsidR="00F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муниципального образования может быть создана рабочая группа из представителей нескольких постоянных и (или) временных комиссий Совета народных депутатов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C65285" w:rsidRPr="00C65285" w:rsidRDefault="00C65285" w:rsidP="00C65285">
      <w:pPr>
        <w:numPr>
          <w:ilvl w:val="0"/>
          <w:numId w:val="4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Совета народных депутатов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C65285" w:rsidRPr="00C65285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 может быть внесен в Совет народных депутатов совместно двумя и более субъектами, имеющими право на внесение проекта.</w:t>
      </w:r>
    </w:p>
    <w:p w:rsidR="00C65285" w:rsidRPr="00C65285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Субъект правотворческой инициативы прилагает к проекту муниципального правового акта, вносимого в Совет народных депутатов, следующие документы:</w:t>
      </w:r>
    </w:p>
    <w:p w:rsidR="00C65285" w:rsidRPr="00C65285" w:rsidRDefault="00C65285" w:rsidP="00C65285">
      <w:pPr>
        <w:numPr>
          <w:ilvl w:val="0"/>
          <w:numId w:val="5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сопроводительное письмо (на имя </w:t>
      </w:r>
      <w:r w:rsidR="00F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муниципального образования) о внесении в Совет народных депутатов проекта муниципального правового акта;</w:t>
      </w:r>
    </w:p>
    <w:p w:rsidR="00C65285" w:rsidRPr="00C65285" w:rsidRDefault="00C65285" w:rsidP="00C65285">
      <w:pPr>
        <w:numPr>
          <w:ilvl w:val="0"/>
          <w:numId w:val="5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решения Совета народных депутатов, содержащего в преамбуле правовое обоснование его принятия;</w:t>
      </w:r>
    </w:p>
    <w:p w:rsidR="00C65285" w:rsidRPr="00C65285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пояснительную записку к проекту муниципального правового акта;</w:t>
      </w:r>
    </w:p>
    <w:p w:rsidR="00C65285" w:rsidRPr="00C65285" w:rsidRDefault="00C65285" w:rsidP="00C65285">
      <w:pPr>
        <w:numPr>
          <w:ilvl w:val="0"/>
          <w:numId w:val="6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C65285" w:rsidRPr="00C65285" w:rsidRDefault="00C65285" w:rsidP="00C65285">
      <w:pPr>
        <w:numPr>
          <w:ilvl w:val="0"/>
          <w:numId w:val="6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приложения, имеющие отношение к проекту решения.</w:t>
      </w:r>
    </w:p>
    <w:p w:rsidR="00C65285" w:rsidRPr="00C65285" w:rsidRDefault="00C65285" w:rsidP="00C65285">
      <w:pPr>
        <w:numPr>
          <w:ilvl w:val="0"/>
          <w:numId w:val="7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рассматриваемая Советом народных депутатов по исполнению решений Совета народных депутатов,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C65285" w:rsidRPr="00C65285" w:rsidRDefault="00C65285" w:rsidP="00C65285">
      <w:pPr>
        <w:numPr>
          <w:ilvl w:val="0"/>
          <w:numId w:val="7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поручению </w:t>
      </w:r>
      <w:r w:rsidR="00F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муниципального образования разрабатывается проект решения Совета народных депутатов с учетом реализации контрольных полномочий Совета народных депутатов над деятельностью органов местного самоуправления с приложением следующих документов:</w:t>
      </w:r>
    </w:p>
    <w:p w:rsidR="00C65285" w:rsidRPr="00C65285" w:rsidRDefault="00C65285" w:rsidP="00C65285">
      <w:pPr>
        <w:numPr>
          <w:ilvl w:val="0"/>
          <w:numId w:val="11"/>
        </w:numPr>
        <w:spacing w:after="0" w:line="240" w:lineRule="auto"/>
        <w:ind w:left="11" w:right="11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Совета народных депутатов, содержащий в преамбуле правовое обоснование его принятия;</w:t>
      </w:r>
    </w:p>
    <w:p w:rsidR="00C65285" w:rsidRPr="00C65285" w:rsidRDefault="00C65285" w:rsidP="00C65285">
      <w:pPr>
        <w:numPr>
          <w:ilvl w:val="0"/>
          <w:numId w:val="11"/>
        </w:numPr>
        <w:spacing w:after="0" w:line="240" w:lineRule="auto"/>
        <w:ind w:left="11" w:right="11"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приложения, имеющие отношение к проекту решения;</w:t>
      </w:r>
    </w:p>
    <w:p w:rsidR="00C65285" w:rsidRPr="00C65285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пояснительная записка к проекту муниципального правового акта.</w:t>
      </w:r>
    </w:p>
    <w:p w:rsidR="00C65285" w:rsidRPr="00C65285" w:rsidRDefault="00C65285" w:rsidP="00A118AE">
      <w:pPr>
        <w:numPr>
          <w:ilvl w:val="0"/>
          <w:numId w:val="8"/>
        </w:numPr>
        <w:spacing w:after="0" w:line="240" w:lineRule="auto"/>
        <w:ind w:left="11" w:right="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муниципальных правовых актов, направленные в Совет народных депутатов либо подготовленные по поручению </w:t>
      </w:r>
      <w:r w:rsidR="00F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муниципального образования, подлежат предварительному рассмотрению постоянной комиссией (иным органом Совета народных депутатов) в соответствии с полномочиями комиссии.</w:t>
      </w:r>
    </w:p>
    <w:p w:rsidR="00C65285" w:rsidRPr="00C65285" w:rsidRDefault="00C65285" w:rsidP="00A118AE">
      <w:pPr>
        <w:numPr>
          <w:ilvl w:val="0"/>
          <w:numId w:val="8"/>
        </w:numPr>
        <w:spacing w:after="0" w:line="240" w:lineRule="auto"/>
        <w:ind w:left="11" w:right="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C65285" w:rsidRPr="00C65285" w:rsidRDefault="00C65285" w:rsidP="00A118AE">
      <w:pPr>
        <w:spacing w:after="0" w:line="240" w:lineRule="auto"/>
        <w:ind w:left="11" w:right="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C65285" w:rsidRPr="00C65285" w:rsidRDefault="00C65285" w:rsidP="00A118AE">
      <w:pPr>
        <w:numPr>
          <w:ilvl w:val="0"/>
          <w:numId w:val="8"/>
        </w:numPr>
        <w:spacing w:after="0" w:line="240" w:lineRule="auto"/>
        <w:ind w:left="11" w:right="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акта, прилагающиеся к нему документы, а также информация по исполнению решений Совета народных депутатов должны быть представлены в Совет народных депутатов на бумажном и электронном носителе не позднее чем за пятнадцать дней до дня заседания Совета народных депутатов.</w:t>
      </w:r>
    </w:p>
    <w:p w:rsidR="00C65285" w:rsidRPr="00C65285" w:rsidRDefault="00C65285" w:rsidP="00A118AE">
      <w:pPr>
        <w:spacing w:after="0" w:line="240" w:lineRule="auto"/>
        <w:ind w:left="11" w:right="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в соответствии с Регламентом Совета народных депутатов или решением </w:t>
      </w:r>
      <w:r w:rsidR="00A1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народных депутатов к рассмотрению могут быть приняты проекты муниципальных правовых актов и правотворческие предложения, внесенные в Совет народных депутатов позднее указанного срока.</w:t>
      </w:r>
    </w:p>
    <w:p w:rsidR="00C65285" w:rsidRPr="00C65285" w:rsidRDefault="00C65285" w:rsidP="00A118AE">
      <w:pPr>
        <w:numPr>
          <w:ilvl w:val="0"/>
          <w:numId w:val="8"/>
        </w:numPr>
        <w:spacing w:after="0" w:line="240" w:lineRule="auto"/>
        <w:ind w:left="11" w:right="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предоставление органом местного самоуправления документов в полном объеме и соответствующих требованиям 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C65285" w:rsidRPr="00C65285" w:rsidRDefault="00C65285" w:rsidP="00A118AE">
      <w:pPr>
        <w:numPr>
          <w:ilvl w:val="0"/>
          <w:numId w:val="8"/>
        </w:numPr>
        <w:spacing w:after="0" w:line="240" w:lineRule="auto"/>
        <w:ind w:left="11" w:right="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правотворческой инициативы, внесший проект ненормативного правового акта в Совет народных депутатов в порядке правотворческой инициативы, вправе отозвать проект ненормативного правового акта.</w:t>
      </w:r>
    </w:p>
    <w:p w:rsidR="00C65285" w:rsidRPr="00C65285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правового акта, внесенный в Совет народных депутатов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C65285" w:rsidRPr="00C65285" w:rsidRDefault="00C65285" w:rsidP="00A118AE">
      <w:pPr>
        <w:numPr>
          <w:ilvl w:val="0"/>
          <w:numId w:val="8"/>
        </w:numPr>
        <w:spacing w:after="0" w:line="240" w:lineRule="auto"/>
        <w:ind w:left="11" w:right="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Поступивший проект муниципального правового акта регистрируется в Совете народных депутатов в день его поступления. Отказ в регистрации не допускается.</w:t>
      </w:r>
    </w:p>
    <w:p w:rsidR="00C65285" w:rsidRPr="00C65285" w:rsidRDefault="00C65285" w:rsidP="00DF63A3">
      <w:pPr>
        <w:numPr>
          <w:ilvl w:val="0"/>
          <w:numId w:val="8"/>
        </w:numPr>
        <w:spacing w:after="0" w:line="240" w:lineRule="auto"/>
        <w:ind w:left="11" w:right="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регистрации проекта </w:t>
      </w:r>
      <w:r w:rsidR="00F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муниципального образования принимает одно из следующих решений:</w:t>
      </w:r>
    </w:p>
    <w:p w:rsidR="00C65285" w:rsidRPr="00C65285" w:rsidRDefault="00C65285" w:rsidP="00DF63A3">
      <w:pPr>
        <w:numPr>
          <w:ilvl w:val="0"/>
          <w:numId w:val="9"/>
        </w:numPr>
        <w:spacing w:after="0" w:line="240" w:lineRule="auto"/>
        <w:ind w:left="11" w:right="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принятии проекта правового акта к рассмотрению на заседании Совета народных депутатов;</w:t>
      </w:r>
    </w:p>
    <w:p w:rsidR="00C65285" w:rsidRPr="00C65285" w:rsidRDefault="00C65285" w:rsidP="00DF63A3">
      <w:pPr>
        <w:numPr>
          <w:ilvl w:val="0"/>
          <w:numId w:val="9"/>
        </w:numPr>
        <w:spacing w:after="0" w:line="240" w:lineRule="auto"/>
        <w:ind w:left="11" w:right="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 решение об отказе в принятии проекта ненормативного правового акта к рассмотрению Советом народных депутатов с указанием причин отказа.</w:t>
      </w:r>
    </w:p>
    <w:p w:rsidR="00C65285" w:rsidRPr="00C65285" w:rsidRDefault="00C65285" w:rsidP="00C65285">
      <w:pPr>
        <w:numPr>
          <w:ilvl w:val="0"/>
          <w:numId w:val="10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 права правотворческой инициативы вправе вновь внести проект муниципального правового акта, в отношении которого </w:t>
      </w:r>
      <w:r w:rsidR="00FC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C65285" w:rsidRPr="00C65285" w:rsidRDefault="00C65285" w:rsidP="00C65285">
      <w:pPr>
        <w:numPr>
          <w:ilvl w:val="0"/>
          <w:numId w:val="10"/>
        </w:num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Проект, по которому принято решение о принятии его к рассмотрению подлежит направлению в органы местного самоуправления муниципального образования   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 (города), для изучения и выражения мнения по нему до рассмотрения проекта на заседании</w:t>
      </w:r>
      <w:r w:rsidRPr="00C652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депутатов.</w:t>
      </w:r>
    </w:p>
    <w:p w:rsidR="00C65285" w:rsidRPr="00C65285" w:rsidRDefault="00C65285" w:rsidP="00C65285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Мотивированные мнения по проекту подлежат представлению в Совет народных депутатов в письменной форме и приобщаются к материалам проекта при рассмотрении на соответствующем заседании.</w:t>
      </w:r>
    </w:p>
    <w:p w:rsidR="002C4749" w:rsidRPr="00A118AE" w:rsidRDefault="002C4749" w:rsidP="00C6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4749" w:rsidRPr="00A118AE" w:rsidSect="00C652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B1"/>
    <w:rsid w:val="00230F68"/>
    <w:rsid w:val="002C4749"/>
    <w:rsid w:val="008574F2"/>
    <w:rsid w:val="00923058"/>
    <w:rsid w:val="00A038B1"/>
    <w:rsid w:val="00A118AE"/>
    <w:rsid w:val="00A32F08"/>
    <w:rsid w:val="00A86C12"/>
    <w:rsid w:val="00B0701F"/>
    <w:rsid w:val="00B53833"/>
    <w:rsid w:val="00C65285"/>
    <w:rsid w:val="00C74AD2"/>
    <w:rsid w:val="00DE057F"/>
    <w:rsid w:val="00DF63A3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MISP</cp:lastModifiedBy>
  <cp:revision>2</cp:revision>
  <dcterms:created xsi:type="dcterms:W3CDTF">2022-06-02T05:00:00Z</dcterms:created>
  <dcterms:modified xsi:type="dcterms:W3CDTF">2022-06-02T05:00:00Z</dcterms:modified>
</cp:coreProperties>
</file>